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4D" w:rsidRPr="00C14885" w:rsidRDefault="00B7754D" w:rsidP="0026160E">
      <w:p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b/>
          <w:color w:val="1F3864" w:themeColor="accent5" w:themeShade="80"/>
        </w:rPr>
        <w:t>Badanie budżetów gospodarstw domowych</w:t>
      </w:r>
      <w:r w:rsidRPr="00C14885">
        <w:rPr>
          <w:rFonts w:ascii="Fira Sans" w:hAnsi="Fira Sans"/>
          <w:color w:val="1F3864" w:themeColor="accent5" w:themeShade="80"/>
        </w:rPr>
        <w:t xml:space="preserve"> stanowi podstawowe źródło informacji o poziomie i strukturze wydatków oraz dochodów badanych gospodarstw domowych, spożyciu podstawowych artykułów żywnościowych, warunkach mieszkaniowych oraz subiektywnej ocenie sytuacji materialnej. Dane uzyskane z badania budżetów gospodarstw domowych umożliwiają analizy warunków życia ludności oraz ocenę wpływu różnych czynników na kształtowanie się poziomu i zróżnicowania sytuacji materialnej podstawowych grup gospodarstw domowych. </w:t>
      </w:r>
    </w:p>
    <w:p w:rsidR="00B7754D" w:rsidRPr="00C14885" w:rsidRDefault="00B7754D" w:rsidP="0026160E">
      <w:pPr>
        <w:rPr>
          <w:rFonts w:ascii="Fira Sans" w:hAnsi="Fira Sans"/>
          <w:color w:val="1F3864" w:themeColor="accent5" w:themeShade="80"/>
        </w:rPr>
      </w:pPr>
    </w:p>
    <w:p w:rsidR="00B7754D" w:rsidRPr="00C14885" w:rsidRDefault="00B7754D" w:rsidP="0026160E">
      <w:pPr>
        <w:rPr>
          <w:rFonts w:ascii="Fira Sans" w:hAnsi="Fira Sans"/>
          <w:b/>
          <w:color w:val="1F3864" w:themeColor="accent5" w:themeShade="80"/>
        </w:rPr>
      </w:pPr>
      <w:r w:rsidRPr="00C14885">
        <w:rPr>
          <w:rFonts w:ascii="Fira Sans" w:hAnsi="Fira Sans"/>
          <w:b/>
          <w:color w:val="1F3864" w:themeColor="accent5" w:themeShade="80"/>
        </w:rPr>
        <w:t>Termin realizacji badania:</w:t>
      </w:r>
    </w:p>
    <w:p w:rsidR="00B7754D" w:rsidRPr="00C14885" w:rsidRDefault="00B7754D" w:rsidP="0026160E">
      <w:p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cały rok – badanie ciągłe</w:t>
      </w:r>
    </w:p>
    <w:p w:rsidR="00B7754D" w:rsidRPr="00C14885" w:rsidRDefault="00B7754D" w:rsidP="0026160E">
      <w:pPr>
        <w:rPr>
          <w:rFonts w:ascii="Fira Sans" w:hAnsi="Fira Sans"/>
          <w:color w:val="1F3864" w:themeColor="accent5" w:themeShade="80"/>
        </w:rPr>
      </w:pPr>
    </w:p>
    <w:p w:rsidR="00B7754D" w:rsidRPr="00C14885" w:rsidRDefault="00B7754D" w:rsidP="0026160E">
      <w:pPr>
        <w:rPr>
          <w:rFonts w:ascii="Fira Sans" w:hAnsi="Fira Sans"/>
          <w:b/>
          <w:color w:val="1F3864" w:themeColor="accent5" w:themeShade="80"/>
        </w:rPr>
      </w:pPr>
      <w:r w:rsidRPr="00C14885">
        <w:rPr>
          <w:rFonts w:ascii="Fira Sans" w:hAnsi="Fira Sans"/>
          <w:b/>
          <w:color w:val="1F3864" w:themeColor="accent5" w:themeShade="80"/>
        </w:rPr>
        <w:t>Metoda realizacji badania:</w:t>
      </w:r>
    </w:p>
    <w:p w:rsidR="00B7754D" w:rsidRPr="00C14885" w:rsidRDefault="00B7754D" w:rsidP="0026160E">
      <w:pPr>
        <w:rPr>
          <w:rFonts w:ascii="Fira Sans" w:hAnsi="Fira Sans" w:cs="Times New Roman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 xml:space="preserve">Badanie prowadzone jest metodą reprezentacyjną na terenie całego kraju wśród wylosowanej grupy gospodarstw domowych w formie: 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wywiadu bezpośredniego lub telefonicznego przeprowadzanego przez ankietera statystycznego;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samodzielnie wypełnianej przez respondentów książeczki budżetu gospodarstwa domowego w formie papierowej lub internetowej albo poprzez zbieranie paragonów otrzymywanych w czasie codziennych zakupów przy wsparciu ze strony ankietera.</w:t>
      </w:r>
    </w:p>
    <w:p w:rsidR="00B7754D" w:rsidRPr="00C14885" w:rsidRDefault="00B7754D" w:rsidP="0026160E">
      <w:p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 xml:space="preserve">Książeczka elektroniczna: </w:t>
      </w:r>
      <w:hyperlink r:id="rId5" w:history="1">
        <w:r w:rsidRPr="00C14885">
          <w:rPr>
            <w:rStyle w:val="Hipercze"/>
            <w:rFonts w:ascii="Fira Sans" w:hAnsi="Fira Sans"/>
            <w:color w:val="1F3864" w:themeColor="accent5" w:themeShade="80"/>
          </w:rPr>
          <w:t>https://budzety.stat.gov.pl/</w:t>
        </w:r>
      </w:hyperlink>
      <w:r w:rsidRPr="00C14885">
        <w:rPr>
          <w:rFonts w:ascii="Fira Sans" w:hAnsi="Fira Sans"/>
          <w:color w:val="1F3864" w:themeColor="accent5" w:themeShade="80"/>
        </w:rPr>
        <w:t xml:space="preserve"> </w:t>
      </w:r>
      <w:r w:rsidRPr="00CB6E71">
        <w:rPr>
          <w:rFonts w:ascii="Fira Sans" w:hAnsi="Fira Sans"/>
          <w:color w:val="1F3864" w:themeColor="accent5" w:themeShade="80"/>
          <w:sz w:val="18"/>
        </w:rPr>
        <w:t xml:space="preserve">(login i hasło dostępne po kontakcie z ankieterem) </w:t>
      </w:r>
      <w:r w:rsidRPr="00CB6E71">
        <w:rPr>
          <w:rFonts w:ascii="Fira Sans" w:hAnsi="Fira Sans"/>
          <w:color w:val="1F3864" w:themeColor="accent5" w:themeShade="80"/>
          <w:sz w:val="18"/>
        </w:rPr>
        <w:br/>
      </w:r>
      <w:r w:rsidRPr="00C14885">
        <w:rPr>
          <w:rFonts w:ascii="Fira Sans" w:hAnsi="Fira Sans"/>
          <w:color w:val="1F3864" w:themeColor="accent5" w:themeShade="80"/>
        </w:rPr>
        <w:t xml:space="preserve">Wersja demo: </w:t>
      </w:r>
      <w:hyperlink r:id="rId6" w:history="1">
        <w:r w:rsidRPr="00C14885">
          <w:rPr>
            <w:rStyle w:val="Hipercze"/>
            <w:rFonts w:ascii="Fira Sans" w:hAnsi="Fira Sans"/>
            <w:color w:val="1F3864" w:themeColor="accent5" w:themeShade="80"/>
          </w:rPr>
          <w:t>https://budzety.stat.gov.pl/demo/</w:t>
        </w:r>
      </w:hyperlink>
      <w:r w:rsidRPr="00C14885">
        <w:rPr>
          <w:rFonts w:ascii="Fira Sans" w:hAnsi="Fira Sans"/>
          <w:color w:val="1F3864" w:themeColor="accent5" w:themeShade="80"/>
        </w:rPr>
        <w:t xml:space="preserve"> </w:t>
      </w:r>
      <w:r w:rsidRPr="00CB6E71">
        <w:rPr>
          <w:rFonts w:ascii="Fira Sans" w:hAnsi="Fira Sans"/>
          <w:color w:val="1F3864" w:themeColor="accent5" w:themeShade="80"/>
          <w:sz w:val="18"/>
        </w:rPr>
        <w:t>(login: demo, hasło: demo)</w:t>
      </w:r>
      <w:r w:rsidRPr="00C14885">
        <w:rPr>
          <w:rFonts w:ascii="Fira Sans" w:hAnsi="Fira Sans"/>
          <w:color w:val="1F3864" w:themeColor="accent5" w:themeShade="80"/>
        </w:rPr>
        <w:t xml:space="preserve"> </w:t>
      </w:r>
    </w:p>
    <w:p w:rsidR="00B7754D" w:rsidRPr="00C14885" w:rsidRDefault="00B7754D" w:rsidP="0026160E">
      <w:pPr>
        <w:rPr>
          <w:rFonts w:ascii="Fira Sans" w:hAnsi="Fira Sans"/>
          <w:color w:val="1F3864" w:themeColor="accent5" w:themeShade="80"/>
        </w:rPr>
      </w:pPr>
    </w:p>
    <w:p w:rsidR="00B7754D" w:rsidRPr="00C14885" w:rsidRDefault="00B7754D" w:rsidP="0026160E">
      <w:pPr>
        <w:rPr>
          <w:rFonts w:ascii="Fira Sans" w:hAnsi="Fira Sans"/>
          <w:b/>
          <w:color w:val="1F3864" w:themeColor="accent5" w:themeShade="80"/>
        </w:rPr>
      </w:pPr>
      <w:r w:rsidRPr="00C14885">
        <w:rPr>
          <w:rFonts w:ascii="Fira Sans" w:hAnsi="Fira Sans"/>
          <w:b/>
          <w:color w:val="1F3864" w:themeColor="accent5" w:themeShade="80"/>
        </w:rPr>
        <w:t>Zakres zbieranych informacji: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wydatki i dochody gospodarstw domowych;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spożycie ilościowe gospodarstw domowych;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charakterystyka gospodarstw domowych i członków gospodarstw domowych;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warunki mieszkaniowe;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wyposażenie w przedmioty trwałego użytkowania;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zasobność gospodarstw domowych;</w:t>
      </w:r>
    </w:p>
    <w:p w:rsidR="00B7754D" w:rsidRPr="00C14885" w:rsidRDefault="00B7754D" w:rsidP="0026160E">
      <w:pPr>
        <w:numPr>
          <w:ilvl w:val="0"/>
          <w:numId w:val="5"/>
        </w:num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>subiektywna ocena sytuacji materialnej gospodarstw domowych.</w:t>
      </w:r>
    </w:p>
    <w:p w:rsidR="00B7754D" w:rsidRPr="00C14885" w:rsidRDefault="00B7754D" w:rsidP="0026160E">
      <w:pPr>
        <w:rPr>
          <w:rFonts w:ascii="Fira Sans" w:hAnsi="Fira Sans"/>
          <w:color w:val="1F3864" w:themeColor="accent5" w:themeShade="80"/>
        </w:rPr>
      </w:pPr>
    </w:p>
    <w:p w:rsidR="00B7754D" w:rsidRPr="00C14885" w:rsidRDefault="00B7754D" w:rsidP="0026160E">
      <w:pPr>
        <w:rPr>
          <w:rFonts w:ascii="Fira Sans" w:hAnsi="Fira Sans"/>
          <w:b/>
          <w:color w:val="1F3864" w:themeColor="accent5" w:themeShade="80"/>
        </w:rPr>
      </w:pPr>
      <w:r w:rsidRPr="00C14885">
        <w:rPr>
          <w:rFonts w:ascii="Fira Sans" w:hAnsi="Fira Sans"/>
          <w:b/>
          <w:color w:val="1F3864" w:themeColor="accent5" w:themeShade="80"/>
        </w:rPr>
        <w:t>Co się dzieje z odpowiedziami respondenta?</w:t>
      </w:r>
    </w:p>
    <w:p w:rsidR="00B7754D" w:rsidRPr="00C14885" w:rsidRDefault="00B7754D" w:rsidP="0026160E">
      <w:pPr>
        <w:rPr>
          <w:rFonts w:ascii="Fira Sans" w:hAnsi="Fira Sans"/>
          <w:color w:val="1F3864" w:themeColor="accent5" w:themeShade="80"/>
        </w:rPr>
      </w:pPr>
      <w:r w:rsidRPr="00C14885">
        <w:rPr>
          <w:rFonts w:ascii="Fira Sans" w:hAnsi="Fira Sans"/>
          <w:color w:val="1F3864" w:themeColor="accent5" w:themeShade="80"/>
        </w:rPr>
        <w:t xml:space="preserve">Do danych jednostkowych uzyskanych od respondenta mają dostęp jedynie pracownicy statystyki publicznej, wyłącznie w celu dokonania zestawień, opracowań i analiz. </w:t>
      </w:r>
    </w:p>
    <w:p w:rsidR="00B7754D" w:rsidRPr="00C14885" w:rsidRDefault="00B7754D" w:rsidP="0026160E">
      <w:pPr>
        <w:rPr>
          <w:rFonts w:ascii="Fira Sans" w:hAnsi="Fira Sans"/>
          <w:color w:val="1F3864" w:themeColor="accent5" w:themeShade="80"/>
        </w:rPr>
      </w:pPr>
    </w:p>
    <w:p w:rsidR="00AD23AA" w:rsidRDefault="00AD23AA" w:rsidP="00AD23AA">
      <w:pPr>
        <w:rPr>
          <w:rFonts w:ascii="Fira Sans" w:hAnsi="Fira Sans"/>
          <w:b/>
          <w:bCs/>
          <w:color w:val="1F3864" w:themeColor="accent5" w:themeShade="80"/>
        </w:rPr>
      </w:pPr>
      <w:r>
        <w:rPr>
          <w:rFonts w:ascii="Fira Sans" w:hAnsi="Fira Sans"/>
          <w:b/>
          <w:bCs/>
          <w:color w:val="1F3864" w:themeColor="accent5" w:themeShade="80"/>
        </w:rPr>
        <w:t>Gdzie sprawdzić tożsamość ankietera?</w:t>
      </w:r>
    </w:p>
    <w:p w:rsidR="00AD23AA" w:rsidRPr="00861775" w:rsidRDefault="00AD23AA" w:rsidP="00AD23AA">
      <w:pPr>
        <w:numPr>
          <w:ilvl w:val="0"/>
          <w:numId w:val="13"/>
        </w:numPr>
        <w:rPr>
          <w:rFonts w:ascii="Fira Sans" w:eastAsia="Times New Roman" w:hAnsi="Fira Sans" w:cs="Times New Roman"/>
          <w:color w:val="1F3864" w:themeColor="accent5" w:themeShade="80"/>
          <w:lang w:eastAsia="pl-PL"/>
        </w:rPr>
      </w:pPr>
      <w:r>
        <w:rPr>
          <w:rFonts w:ascii="Fira Sans" w:eastAsia="Times New Roman" w:hAnsi="Fira Sans" w:cs="Times New Roman"/>
          <w:color w:val="1F3864" w:themeColor="accent5" w:themeShade="80"/>
          <w:lang w:eastAsia="pl-PL"/>
        </w:rPr>
        <w:t>w</w:t>
      </w:r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 xml:space="preserve"> Urzędzie Statystycznym w Poznaniu pod numerami: 61 27 98 302 lub 61 27 98 356,</w:t>
      </w:r>
    </w:p>
    <w:p w:rsidR="00AD23AA" w:rsidRPr="00861775" w:rsidRDefault="00AD23AA" w:rsidP="00AD23AA">
      <w:pPr>
        <w:numPr>
          <w:ilvl w:val="0"/>
          <w:numId w:val="13"/>
        </w:numPr>
        <w:rPr>
          <w:rFonts w:ascii="Fira Sans" w:eastAsia="Times New Roman" w:hAnsi="Fira Sans" w:cs="Times New Roman"/>
          <w:color w:val="1F3864" w:themeColor="accent5" w:themeShade="80"/>
          <w:lang w:eastAsia="pl-PL"/>
        </w:rPr>
      </w:pPr>
      <w:r>
        <w:rPr>
          <w:rFonts w:ascii="Fira Sans" w:eastAsia="Times New Roman" w:hAnsi="Fira Sans" w:cs="Times New Roman"/>
          <w:color w:val="1F3864" w:themeColor="accent5" w:themeShade="80"/>
          <w:lang w:eastAsia="pl-PL"/>
        </w:rPr>
        <w:t>d</w:t>
      </w:r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>zwonią</w:t>
      </w:r>
      <w:r w:rsidR="00412EEA">
        <w:rPr>
          <w:rFonts w:ascii="Fira Sans" w:eastAsia="Times New Roman" w:hAnsi="Fira Sans" w:cs="Times New Roman"/>
          <w:color w:val="1F3864" w:themeColor="accent5" w:themeShade="80"/>
          <w:lang w:eastAsia="pl-PL"/>
        </w:rPr>
        <w:t>c</w:t>
      </w:r>
      <w:bookmarkStart w:id="0" w:name="_GoBack"/>
      <w:bookmarkEnd w:id="0"/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 xml:space="preserve"> na infolinię statystyczną 22 279 99 99 kanał 7 (w dni robocze w godz. 8-15),</w:t>
      </w:r>
    </w:p>
    <w:p w:rsidR="00AD23AA" w:rsidRDefault="00AD23AA" w:rsidP="00AD23AA">
      <w:pPr>
        <w:numPr>
          <w:ilvl w:val="0"/>
          <w:numId w:val="13"/>
        </w:numPr>
        <w:rPr>
          <w:rFonts w:ascii="Fira Sans" w:hAnsi="Fira Sans"/>
          <w:color w:val="1F3864" w:themeColor="accent5" w:themeShade="80"/>
        </w:rPr>
      </w:pPr>
      <w:r w:rsidRPr="00861775">
        <w:rPr>
          <w:rFonts w:ascii="Fira Sans" w:eastAsia="Times New Roman" w:hAnsi="Fira Sans" w:cs="Times New Roman"/>
          <w:color w:val="1F3864" w:themeColor="accent5" w:themeShade="80"/>
          <w:lang w:eastAsia="pl-PL"/>
        </w:rPr>
        <w:t>na stronie</w:t>
      </w:r>
      <w:r>
        <w:rPr>
          <w:rFonts w:ascii="Fira Sans" w:hAnsi="Fira Sans"/>
          <w:color w:val="1F3864" w:themeColor="accent5" w:themeShade="80"/>
        </w:rPr>
        <w:t xml:space="preserve"> </w:t>
      </w:r>
      <w:hyperlink r:id="rId7" w:history="1">
        <w:r>
          <w:rPr>
            <w:rStyle w:val="Hipercze"/>
            <w:rFonts w:ascii="Fira Sans" w:hAnsi="Fira Sans"/>
            <w:color w:val="1F3864" w:themeColor="accent5" w:themeShade="80"/>
          </w:rPr>
          <w:t>https://badania-ankietowe.stat.gov.pl/sprawdz-tozsamosc-ankietera</w:t>
        </w:r>
      </w:hyperlink>
      <w:r>
        <w:rPr>
          <w:rFonts w:ascii="Fira Sans" w:hAnsi="Fira Sans"/>
          <w:color w:val="1F3864" w:themeColor="accent5" w:themeShade="80"/>
        </w:rPr>
        <w:t xml:space="preserve"> </w:t>
      </w:r>
    </w:p>
    <w:p w:rsidR="00B7754D" w:rsidRPr="00C14885" w:rsidRDefault="00B7754D" w:rsidP="0026160E">
      <w:pPr>
        <w:rPr>
          <w:rFonts w:ascii="Fira Sans" w:hAnsi="Fira Sans"/>
          <w:color w:val="1F3864" w:themeColor="accent5" w:themeShade="80"/>
        </w:rPr>
      </w:pPr>
    </w:p>
    <w:p w:rsidR="009D05DE" w:rsidRDefault="009D05DE" w:rsidP="009D05DE">
      <w:pPr>
        <w:rPr>
          <w:rFonts w:ascii="Fira Sans" w:hAnsi="Fira Sans"/>
          <w:b/>
          <w:bCs/>
          <w:color w:val="1F3864" w:themeColor="accent5" w:themeShade="80"/>
        </w:rPr>
      </w:pPr>
      <w:r w:rsidRPr="009D05DE">
        <w:rPr>
          <w:rFonts w:ascii="Fira Sans" w:hAnsi="Fira Sans"/>
          <w:b/>
          <w:bCs/>
          <w:color w:val="1F3864" w:themeColor="accent5" w:themeShade="80"/>
        </w:rPr>
        <w:t>Dlaczego warto wziąć udział w tym badaniu ankietowym?</w:t>
      </w:r>
    </w:p>
    <w:p w:rsidR="009D05DE" w:rsidRPr="009D05DE" w:rsidRDefault="009D05DE" w:rsidP="009D05DE">
      <w:pPr>
        <w:rPr>
          <w:rFonts w:ascii="Fira Sans" w:hAnsi="Fira Sans"/>
          <w:color w:val="1F3864" w:themeColor="accent5" w:themeShade="80"/>
        </w:rPr>
      </w:pPr>
      <w:r w:rsidRPr="009D05DE">
        <w:rPr>
          <w:rFonts w:ascii="Fira Sans" w:hAnsi="Fira Sans"/>
          <w:color w:val="1F3864" w:themeColor="accent5" w:themeShade="80"/>
        </w:rPr>
        <w:t>Na podstawie uzyskanych w badaniu wyników podejmowane są ważne decyzje z zakresu polityki społecznej, dotyczące wszystkich mieszkańców Polski. Wyniki badania umożliwiają m. in.: analizę poziomu i zróżnicowania warunków życia podstawowych grup społeczno-ekonomicznych gospodarstw domowych oraz przyczyn powodujących te zróżnicowanie; obliczenie wskaźnika inflacji; ustalanie poziomu ubóstwa ekonomicznego oraz sfery niedostatku; ustalanie ubóstwa energetycznego; obliczanie minimalnego wynagrodzenia; ustalanie wysokości zasiłków społecznych; szacowanie obciążeń wydatkowych i podatkowych gospodarstw domowych; ustalanie stawek opłat za odpady komunalne.</w:t>
      </w:r>
    </w:p>
    <w:p w:rsidR="0026160E" w:rsidRDefault="0026160E" w:rsidP="0026160E">
      <w:pPr>
        <w:outlineLvl w:val="4"/>
        <w:rPr>
          <w:rFonts w:ascii="Fira Sans" w:eastAsia="Times New Roman" w:hAnsi="Fira Sans" w:cs="Times New Roman"/>
          <w:b/>
          <w:color w:val="1F3864" w:themeColor="accent5" w:themeShade="80"/>
          <w:lang w:eastAsia="pl-PL"/>
        </w:rPr>
      </w:pPr>
    </w:p>
    <w:p w:rsidR="009C7689" w:rsidRPr="007C585D" w:rsidRDefault="009C7689" w:rsidP="009C7689">
      <w:pPr>
        <w:shd w:val="clear" w:color="auto" w:fill="002060"/>
        <w:jc w:val="center"/>
        <w:rPr>
          <w:rFonts w:ascii="Fira Sans" w:hAnsi="Fira Sans"/>
          <w:color w:val="FFFFFF" w:themeColor="background1"/>
        </w:rPr>
      </w:pPr>
      <w:r w:rsidRPr="007C585D">
        <w:rPr>
          <w:rFonts w:ascii="Fira Sans" w:hAnsi="Fira Sans"/>
          <w:b/>
          <w:color w:val="FFFFFF" w:themeColor="background1"/>
        </w:rPr>
        <w:t>Zapraszamy na nowy portal dedykowany badaniom ankietowym</w:t>
      </w:r>
      <w:r>
        <w:rPr>
          <w:rFonts w:ascii="Fira Sans" w:hAnsi="Fira Sans"/>
          <w:b/>
          <w:color w:val="FFFFFF" w:themeColor="background1"/>
        </w:rPr>
        <w:t xml:space="preserve"> </w:t>
      </w:r>
      <w:r>
        <w:rPr>
          <w:rFonts w:ascii="Fira Sans" w:hAnsi="Fira Sans"/>
          <w:b/>
          <w:color w:val="FFFFFF" w:themeColor="background1"/>
        </w:rPr>
        <w:br/>
      </w:r>
      <w:r w:rsidRPr="007C585D">
        <w:rPr>
          <w:rFonts w:ascii="Fira Sans" w:hAnsi="Fira Sans"/>
          <w:color w:val="FFFFFF" w:themeColor="background1"/>
        </w:rPr>
        <w:t>https://badania-ankietowe.stat.gov.pl/</w:t>
      </w:r>
    </w:p>
    <w:p w:rsidR="00084264" w:rsidRDefault="00084264" w:rsidP="0026160E">
      <w:pPr>
        <w:outlineLvl w:val="4"/>
        <w:rPr>
          <w:rFonts w:ascii="Fira Sans" w:eastAsia="Times New Roman" w:hAnsi="Fira Sans" w:cs="Times New Roman"/>
          <w:b/>
          <w:color w:val="1F3864" w:themeColor="accent5" w:themeShade="80"/>
          <w:lang w:eastAsia="pl-PL"/>
        </w:rPr>
      </w:pPr>
    </w:p>
    <w:p w:rsidR="00CB6E71" w:rsidRDefault="00CB6E71" w:rsidP="0026160E">
      <w:pPr>
        <w:outlineLvl w:val="4"/>
        <w:rPr>
          <w:rFonts w:ascii="Fira Sans" w:eastAsia="Times New Roman" w:hAnsi="Fira Sans" w:cs="Times New Roman"/>
          <w:b/>
          <w:color w:val="1F3864" w:themeColor="accent5" w:themeShade="80"/>
          <w:lang w:eastAsia="pl-PL"/>
        </w:rPr>
      </w:pPr>
    </w:p>
    <w:p w:rsidR="00CB6E71" w:rsidRDefault="00CB6E71" w:rsidP="0026160E">
      <w:pPr>
        <w:outlineLvl w:val="4"/>
        <w:rPr>
          <w:rFonts w:ascii="Fira Sans" w:eastAsia="Times New Roman" w:hAnsi="Fira Sans" w:cs="Times New Roman"/>
          <w:b/>
          <w:color w:val="1F3864" w:themeColor="accent5" w:themeShade="80"/>
          <w:lang w:eastAsia="pl-PL"/>
        </w:rPr>
      </w:pPr>
    </w:p>
    <w:p w:rsidR="007C585D" w:rsidRDefault="007C585D" w:rsidP="0026160E">
      <w:pPr>
        <w:outlineLvl w:val="4"/>
        <w:rPr>
          <w:rFonts w:ascii="Fira Sans" w:eastAsia="Times New Roman" w:hAnsi="Fira Sans" w:cs="Times New Roman"/>
          <w:b/>
          <w:color w:val="1F3864" w:themeColor="accent5" w:themeShade="80"/>
          <w:lang w:eastAsia="pl-PL"/>
        </w:rPr>
      </w:pPr>
    </w:p>
    <w:sectPr w:rsidR="007C585D" w:rsidSect="007C585D">
      <w:pgSz w:w="11906" w:h="16838"/>
      <w:pgMar w:top="993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63F"/>
    <w:multiLevelType w:val="hybridMultilevel"/>
    <w:tmpl w:val="84981EA2"/>
    <w:lvl w:ilvl="0" w:tplc="86A02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4A5"/>
    <w:multiLevelType w:val="multilevel"/>
    <w:tmpl w:val="4550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77EAC"/>
    <w:multiLevelType w:val="multilevel"/>
    <w:tmpl w:val="C03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27D43"/>
    <w:multiLevelType w:val="multilevel"/>
    <w:tmpl w:val="84C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233C8"/>
    <w:multiLevelType w:val="multilevel"/>
    <w:tmpl w:val="7FA8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91D5B"/>
    <w:multiLevelType w:val="multilevel"/>
    <w:tmpl w:val="B194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873B7"/>
    <w:multiLevelType w:val="multilevel"/>
    <w:tmpl w:val="2474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F1527"/>
    <w:multiLevelType w:val="multilevel"/>
    <w:tmpl w:val="42EA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75AD5"/>
    <w:multiLevelType w:val="multilevel"/>
    <w:tmpl w:val="B208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A7048"/>
    <w:multiLevelType w:val="multilevel"/>
    <w:tmpl w:val="97E6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74A8B"/>
    <w:multiLevelType w:val="multilevel"/>
    <w:tmpl w:val="0F58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760D4"/>
    <w:multiLevelType w:val="multilevel"/>
    <w:tmpl w:val="00A4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B64FB"/>
    <w:multiLevelType w:val="multilevel"/>
    <w:tmpl w:val="9122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561070"/>
    <w:multiLevelType w:val="multilevel"/>
    <w:tmpl w:val="74A2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5660E"/>
    <w:multiLevelType w:val="multilevel"/>
    <w:tmpl w:val="D3FA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A74BC0"/>
    <w:multiLevelType w:val="multilevel"/>
    <w:tmpl w:val="AEE4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0463C0"/>
    <w:multiLevelType w:val="multilevel"/>
    <w:tmpl w:val="3428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443F7"/>
    <w:multiLevelType w:val="multilevel"/>
    <w:tmpl w:val="2AF2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57E73"/>
    <w:multiLevelType w:val="hybridMultilevel"/>
    <w:tmpl w:val="AE6C019A"/>
    <w:lvl w:ilvl="0" w:tplc="86A02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24B4A"/>
    <w:multiLevelType w:val="hybridMultilevel"/>
    <w:tmpl w:val="43B2842A"/>
    <w:lvl w:ilvl="0" w:tplc="6178D324">
      <w:start w:val="1"/>
      <w:numFmt w:val="bullet"/>
      <w:lvlText w:val="˗"/>
      <w:lvlJc w:val="left"/>
      <w:pPr>
        <w:ind w:left="720" w:hanging="360"/>
      </w:pPr>
      <w:rPr>
        <w:rFonts w:ascii="Fira Sans" w:hAnsi="Fira 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B0D1B"/>
    <w:multiLevelType w:val="hybridMultilevel"/>
    <w:tmpl w:val="080634E2"/>
    <w:lvl w:ilvl="0" w:tplc="C26C5B7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14079"/>
    <w:multiLevelType w:val="multilevel"/>
    <w:tmpl w:val="2DE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17"/>
  </w:num>
  <w:num w:numId="5">
    <w:abstractNumId w:val="9"/>
  </w:num>
  <w:num w:numId="6">
    <w:abstractNumId w:val="19"/>
  </w:num>
  <w:num w:numId="7">
    <w:abstractNumId w:val="20"/>
  </w:num>
  <w:num w:numId="8">
    <w:abstractNumId w:val="3"/>
  </w:num>
  <w:num w:numId="9">
    <w:abstractNumId w:val="21"/>
  </w:num>
  <w:num w:numId="10">
    <w:abstractNumId w:val="2"/>
  </w:num>
  <w:num w:numId="11">
    <w:abstractNumId w:val="10"/>
  </w:num>
  <w:num w:numId="12">
    <w:abstractNumId w:val="6"/>
  </w:num>
  <w:num w:numId="13">
    <w:abstractNumId w:val="15"/>
  </w:num>
  <w:num w:numId="14">
    <w:abstractNumId w:val="8"/>
  </w:num>
  <w:num w:numId="15">
    <w:abstractNumId w:val="0"/>
  </w:num>
  <w:num w:numId="16">
    <w:abstractNumId w:val="16"/>
  </w:num>
  <w:num w:numId="17">
    <w:abstractNumId w:val="13"/>
  </w:num>
  <w:num w:numId="18">
    <w:abstractNumId w:val="12"/>
  </w:num>
  <w:num w:numId="19">
    <w:abstractNumId w:val="1"/>
  </w:num>
  <w:num w:numId="20">
    <w:abstractNumId w:val="14"/>
  </w:num>
  <w:num w:numId="21">
    <w:abstractNumId w:val="5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4D"/>
    <w:rsid w:val="00070330"/>
    <w:rsid w:val="00084264"/>
    <w:rsid w:val="0026160E"/>
    <w:rsid w:val="002737CF"/>
    <w:rsid w:val="00412EEA"/>
    <w:rsid w:val="004331D7"/>
    <w:rsid w:val="00766130"/>
    <w:rsid w:val="00793CEE"/>
    <w:rsid w:val="007C585D"/>
    <w:rsid w:val="00823EDB"/>
    <w:rsid w:val="009C7689"/>
    <w:rsid w:val="009D05DE"/>
    <w:rsid w:val="00AD23AA"/>
    <w:rsid w:val="00B7754D"/>
    <w:rsid w:val="00C14885"/>
    <w:rsid w:val="00CB6E71"/>
    <w:rsid w:val="00D3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50856-AB8A-4EE8-B714-909BAA96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54D"/>
    <w:pPr>
      <w:spacing w:after="0" w:line="240" w:lineRule="auto"/>
    </w:pPr>
    <w:rPr>
      <w:rFonts w:ascii="Calibri" w:hAnsi="Calibri" w:cs="Calibri"/>
    </w:rPr>
  </w:style>
  <w:style w:type="paragraph" w:styleId="Nagwek5">
    <w:name w:val="heading 5"/>
    <w:basedOn w:val="Normalny"/>
    <w:link w:val="Nagwek5Znak"/>
    <w:uiPriority w:val="9"/>
    <w:qFormat/>
    <w:rsid w:val="00B7754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54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7754D"/>
    <w:pPr>
      <w:ind w:left="720"/>
    </w:pPr>
  </w:style>
  <w:style w:type="character" w:customStyle="1" w:styleId="Nagwek5Znak">
    <w:name w:val="Nagłówek 5 Znak"/>
    <w:basedOn w:val="Domylnaczcionkaakapitu"/>
    <w:link w:val="Nagwek5"/>
    <w:uiPriority w:val="9"/>
    <w:rsid w:val="00B775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muitypography-root">
    <w:name w:val="muitypography-root"/>
    <w:basedOn w:val="Normalny"/>
    <w:rsid w:val="00B775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C5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0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8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dania-ankietowe.stat.gov.pl/sprawdz-tozsamosc-ankiet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zety.stat.gov.pl/demo/" TargetMode="External"/><Relationship Id="rId5" Type="http://schemas.openxmlformats.org/officeDocument/2006/relationships/hyperlink" Target="https://budzety.stat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Ancan Magdalena</dc:creator>
  <cp:keywords/>
  <dc:description/>
  <cp:lastModifiedBy>Ancan Magdalena</cp:lastModifiedBy>
  <cp:revision>4</cp:revision>
  <cp:lastPrinted>2023-03-09T07:51:00Z</cp:lastPrinted>
  <dcterms:created xsi:type="dcterms:W3CDTF">2023-03-09T08:04:00Z</dcterms:created>
  <dcterms:modified xsi:type="dcterms:W3CDTF">2023-11-06T09:06:00Z</dcterms:modified>
</cp:coreProperties>
</file>